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8D34A6" w:rsidRPr="00556EEB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:rsidR="008D34A6" w:rsidRPr="00556EEB" w:rsidRDefault="008D34A6" w:rsidP="00A80D8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района                                               от </w:t>
            </w:r>
            <w:r w:rsidR="00A80D88">
              <w:rPr>
                <w:rFonts w:ascii="Times New Roman" w:hAnsi="Times New Roman"/>
                <w:sz w:val="18"/>
                <w:szCs w:val="18"/>
              </w:rPr>
              <w:t xml:space="preserve">14.06.2022 </w:t>
            </w:r>
            <w:bookmarkStart w:id="0" w:name="_GoBack"/>
            <w:bookmarkEnd w:id="0"/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80D88">
              <w:rPr>
                <w:rFonts w:ascii="Times New Roman" w:hAnsi="Times New Roman"/>
                <w:sz w:val="18"/>
                <w:szCs w:val="18"/>
              </w:rPr>
              <w:t xml:space="preserve"> 838</w:t>
            </w:r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556EEB">
        <w:rPr>
          <w:sz w:val="18"/>
          <w:szCs w:val="18"/>
        </w:rPr>
        <w:t>Администрация Благовещенского района,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53" w:rsidRDefault="00804853" w:rsidP="00113290">
      <w:pPr>
        <w:spacing w:after="0" w:line="240" w:lineRule="auto"/>
      </w:pPr>
      <w:r>
        <w:separator/>
      </w:r>
    </w:p>
  </w:endnote>
  <w:endnote w:type="continuationSeparator" w:id="0">
    <w:p w:rsidR="00804853" w:rsidRDefault="00804853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53" w:rsidRDefault="00804853" w:rsidP="00113290">
      <w:pPr>
        <w:spacing w:after="0" w:line="240" w:lineRule="auto"/>
      </w:pPr>
      <w:r>
        <w:separator/>
      </w:r>
    </w:p>
  </w:footnote>
  <w:footnote w:type="continuationSeparator" w:id="0">
    <w:p w:rsidR="00804853" w:rsidRDefault="00804853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3CE2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4DC7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7FF1A-63E7-4B42-93D5-66429D1A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140</cp:revision>
  <cp:lastPrinted>2022-06-02T04:34:00Z</cp:lastPrinted>
  <dcterms:created xsi:type="dcterms:W3CDTF">2017-08-09T07:17:00Z</dcterms:created>
  <dcterms:modified xsi:type="dcterms:W3CDTF">2022-06-14T02:18:00Z</dcterms:modified>
</cp:coreProperties>
</file>