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94757B">
        <w:t xml:space="preserve"> 2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</w:r>
      <w:r w:rsidR="0094757B">
        <w:rPr>
          <w:sz w:val="24"/>
          <w:szCs w:val="24"/>
        </w:rPr>
        <w:softHyphen/>
        <w:t xml:space="preserve">Новопетровского </w:t>
      </w:r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94757B">
        <w:rPr>
          <w:sz w:val="24"/>
          <w:szCs w:val="24"/>
        </w:rPr>
        <w:t xml:space="preserve">лавы Новопетровского 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94757B">
        <w:rPr>
          <w:sz w:val="24"/>
          <w:szCs w:val="24"/>
        </w:rPr>
        <w:t>вета Гладких Ивана Владимировича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94757B">
        <w:rPr>
          <w:sz w:val="24"/>
          <w:szCs w:val="24"/>
        </w:rPr>
        <w:t xml:space="preserve">става  Новопетровского </w:t>
      </w:r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94757B">
        <w:rPr>
          <w:sz w:val="24"/>
          <w:szCs w:val="24"/>
        </w:rPr>
        <w:t xml:space="preserve">Уставом Новопетровского </w:t>
      </w:r>
      <w:r w:rsidR="00B521F0">
        <w:rPr>
          <w:sz w:val="24"/>
          <w:szCs w:val="24"/>
        </w:rPr>
        <w:t xml:space="preserve"> </w:t>
      </w:r>
      <w:r w:rsidR="0094757B">
        <w:rPr>
          <w:sz w:val="24"/>
          <w:szCs w:val="24"/>
        </w:rPr>
        <w:t xml:space="preserve"> сельсовета, </w:t>
      </w:r>
      <w:r w:rsidRPr="004A507D">
        <w:rPr>
          <w:sz w:val="24"/>
          <w:szCs w:val="24"/>
        </w:rPr>
        <w:t xml:space="preserve"> 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94757B">
        <w:rPr>
          <w:sz w:val="24"/>
          <w:szCs w:val="24"/>
        </w:rPr>
        <w:t xml:space="preserve">ешением Новопетровского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212AC4">
        <w:rPr>
          <w:sz w:val="24"/>
          <w:szCs w:val="24"/>
        </w:rPr>
        <w:t xml:space="preserve"> депутатов от 26</w:t>
      </w:r>
      <w:r w:rsidR="00B521F0">
        <w:rPr>
          <w:sz w:val="24"/>
          <w:szCs w:val="24"/>
        </w:rPr>
        <w:t xml:space="preserve"> октября 2021  № </w:t>
      </w:r>
      <w:r w:rsidR="00212AC4">
        <w:rPr>
          <w:sz w:val="24"/>
          <w:szCs w:val="24"/>
        </w:rPr>
        <w:t xml:space="preserve">6  «О передаче отдельных </w:t>
      </w:r>
      <w:r w:rsidRPr="004A507D">
        <w:rPr>
          <w:sz w:val="24"/>
          <w:szCs w:val="24"/>
        </w:rPr>
        <w:t xml:space="preserve"> полномочий </w:t>
      </w:r>
      <w:r w:rsidR="00212AC4">
        <w:rPr>
          <w:sz w:val="24"/>
          <w:szCs w:val="24"/>
        </w:rPr>
        <w:t xml:space="preserve">по вопросам местного значения Новопетровского сельсовета в сфере жилищно-коммунального хозяйства органам местного самоуправления Благовещенского района»,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proofErr w:type="gramEnd"/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</w:t>
      </w:r>
      <w:proofErr w:type="gramStart"/>
      <w:r w:rsidR="00F6079E">
        <w:rPr>
          <w:sz w:val="24"/>
          <w:szCs w:val="24"/>
        </w:rPr>
        <w:t>О 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</w:t>
      </w:r>
      <w:r w:rsidR="00212AC4">
        <w:rPr>
          <w:sz w:val="24"/>
          <w:szCs w:val="24"/>
        </w:rPr>
        <w:t>, 6.1.</w:t>
      </w:r>
      <w:r w:rsidRPr="004A507D">
        <w:rPr>
          <w:sz w:val="24"/>
          <w:szCs w:val="24"/>
        </w:rPr>
        <w:t xml:space="preserve">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</w:t>
      </w:r>
      <w:proofErr w:type="gramEnd"/>
      <w:r w:rsidRPr="004A507D">
        <w:rPr>
          <w:sz w:val="24"/>
          <w:szCs w:val="24"/>
        </w:rPr>
        <w:t xml:space="preserve"> Соглашение о нижеследующем:</w:t>
      </w:r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0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1A43D5">
        <w:rPr>
          <w:rFonts w:ascii="Times New Roman" w:hAnsi="Times New Roman" w:cs="Times New Roman"/>
          <w:sz w:val="24"/>
          <w:szCs w:val="24"/>
        </w:rPr>
        <w:t xml:space="preserve"> Новопетровского</w:t>
      </w:r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proofErr w:type="gramStart"/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  <w:proofErr w:type="gramEnd"/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1F2251">
        <w:rPr>
          <w:b/>
          <w:sz w:val="24"/>
          <w:szCs w:val="24"/>
        </w:rPr>
        <w:t>тавляет 133</w:t>
      </w:r>
      <w:r w:rsidR="00F13757">
        <w:rPr>
          <w:b/>
          <w:sz w:val="24"/>
          <w:szCs w:val="24"/>
        </w:rPr>
        <w:t> 874</w:t>
      </w:r>
      <w:r w:rsidR="00CA1C3E">
        <w:rPr>
          <w:b/>
          <w:sz w:val="24"/>
          <w:szCs w:val="24"/>
        </w:rPr>
        <w:t>,0</w:t>
      </w:r>
      <w:r w:rsidR="00EB127D">
        <w:rPr>
          <w:b/>
          <w:sz w:val="24"/>
          <w:szCs w:val="24"/>
        </w:rPr>
        <w:t xml:space="preserve"> </w:t>
      </w:r>
      <w:r w:rsidR="007266C9" w:rsidRPr="007266C9">
        <w:rPr>
          <w:b/>
          <w:sz w:val="24"/>
          <w:szCs w:val="24"/>
        </w:rPr>
        <w:t xml:space="preserve">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F13757">
        <w:rPr>
          <w:b/>
          <w:sz w:val="24"/>
          <w:szCs w:val="24"/>
        </w:rPr>
        <w:t xml:space="preserve">сто </w:t>
      </w:r>
      <w:r w:rsidR="00CA1C3E">
        <w:rPr>
          <w:b/>
          <w:sz w:val="24"/>
          <w:szCs w:val="24"/>
        </w:rPr>
        <w:t xml:space="preserve"> тридцать три </w:t>
      </w:r>
      <w:r w:rsidR="00F13757">
        <w:rPr>
          <w:b/>
          <w:sz w:val="24"/>
          <w:szCs w:val="24"/>
        </w:rPr>
        <w:t>тысячи   восемьсот семьдесят четыре</w:t>
      </w:r>
      <w:r w:rsidR="007266C9" w:rsidRPr="007266C9">
        <w:rPr>
          <w:b/>
          <w:sz w:val="24"/>
          <w:szCs w:val="24"/>
        </w:rPr>
        <w:t xml:space="preserve">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 xml:space="preserve"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</w:t>
      </w:r>
      <w:proofErr w:type="gramStart"/>
      <w:r w:rsidR="00C13450" w:rsidRPr="003A493B">
        <w:rPr>
          <w:sz w:val="24"/>
          <w:szCs w:val="24"/>
        </w:rPr>
        <w:t>г</w:t>
      </w:r>
      <w:proofErr w:type="gramEnd"/>
      <w:r w:rsidR="00C13450" w:rsidRPr="003A493B">
        <w:rPr>
          <w:sz w:val="24"/>
          <w:szCs w:val="24"/>
        </w:rPr>
        <w:t>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9400FC">
              <w:rPr>
                <w:sz w:val="24"/>
                <w:szCs w:val="24"/>
              </w:rPr>
              <w:t xml:space="preserve"> Новопетровского </w:t>
            </w:r>
            <w:r w:rsidR="00315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9400FC">
              <w:rPr>
                <w:sz w:val="24"/>
                <w:szCs w:val="24"/>
              </w:rPr>
              <w:t xml:space="preserve">ава Новопетровского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D70E19" w:rsidRPr="004A507D">
              <w:rPr>
                <w:sz w:val="24"/>
                <w:szCs w:val="24"/>
              </w:rPr>
              <w:t xml:space="preserve"> </w:t>
            </w:r>
            <w:r w:rsidR="009400FC">
              <w:rPr>
                <w:sz w:val="24"/>
                <w:szCs w:val="24"/>
              </w:rPr>
              <w:t xml:space="preserve">И.В. Гладкий </w:t>
            </w:r>
            <w:r w:rsidR="003A493B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1A43D5"/>
    <w:rsid w:val="001D6179"/>
    <w:rsid w:val="001F2251"/>
    <w:rsid w:val="00212AC4"/>
    <w:rsid w:val="002215BB"/>
    <w:rsid w:val="002D2601"/>
    <w:rsid w:val="002E778B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637313"/>
    <w:rsid w:val="00657FF0"/>
    <w:rsid w:val="006D7F4A"/>
    <w:rsid w:val="007266C9"/>
    <w:rsid w:val="0077194B"/>
    <w:rsid w:val="009400FC"/>
    <w:rsid w:val="0094757B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A1C3E"/>
    <w:rsid w:val="00CD0A54"/>
    <w:rsid w:val="00CD7390"/>
    <w:rsid w:val="00D70E19"/>
    <w:rsid w:val="00D738D1"/>
    <w:rsid w:val="00DC6E7F"/>
    <w:rsid w:val="00E22837"/>
    <w:rsid w:val="00E55EB1"/>
    <w:rsid w:val="00EA5003"/>
    <w:rsid w:val="00EB127D"/>
    <w:rsid w:val="00F13757"/>
    <w:rsid w:val="00F51E9C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5975-8EE0-49BD-92F3-5CFE8F00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33</cp:revision>
  <cp:lastPrinted>2022-01-12T04:33:00Z</cp:lastPrinted>
  <dcterms:created xsi:type="dcterms:W3CDTF">2017-09-20T02:46:00Z</dcterms:created>
  <dcterms:modified xsi:type="dcterms:W3CDTF">2022-01-12T04:37:00Z</dcterms:modified>
</cp:coreProperties>
</file>