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2164D8">
        <w:t xml:space="preserve"> 8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r w:rsidR="002164D8">
        <w:rPr>
          <w:sz w:val="24"/>
          <w:szCs w:val="24"/>
        </w:rPr>
        <w:softHyphen/>
      </w:r>
      <w:proofErr w:type="spellStart"/>
      <w:r w:rsidR="002164D8">
        <w:rPr>
          <w:sz w:val="24"/>
          <w:szCs w:val="24"/>
        </w:rPr>
        <w:t>Гродековского</w:t>
      </w:r>
      <w:proofErr w:type="spellEnd"/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2164D8">
        <w:rPr>
          <w:sz w:val="24"/>
          <w:szCs w:val="24"/>
        </w:rPr>
        <w:t xml:space="preserve">лавы </w:t>
      </w:r>
      <w:proofErr w:type="spellStart"/>
      <w:r w:rsidR="002164D8">
        <w:rPr>
          <w:sz w:val="24"/>
          <w:szCs w:val="24"/>
        </w:rPr>
        <w:t>Гродековского</w:t>
      </w:r>
      <w:proofErr w:type="spellEnd"/>
      <w:r w:rsidR="002164D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2164D8">
        <w:rPr>
          <w:sz w:val="24"/>
          <w:szCs w:val="24"/>
        </w:rPr>
        <w:t>вета Береговой Ольги Геннадьевны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2164D8">
        <w:rPr>
          <w:sz w:val="24"/>
          <w:szCs w:val="24"/>
        </w:rPr>
        <w:t xml:space="preserve">става </w:t>
      </w:r>
      <w:proofErr w:type="spellStart"/>
      <w:r w:rsidR="002164D8">
        <w:rPr>
          <w:sz w:val="24"/>
          <w:szCs w:val="24"/>
        </w:rPr>
        <w:t>Гродековского</w:t>
      </w:r>
      <w:proofErr w:type="spellEnd"/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2164D8">
        <w:rPr>
          <w:sz w:val="24"/>
          <w:szCs w:val="24"/>
        </w:rPr>
        <w:t xml:space="preserve">Уставом </w:t>
      </w:r>
      <w:proofErr w:type="spellStart"/>
      <w:r w:rsidR="002164D8">
        <w:rPr>
          <w:sz w:val="24"/>
          <w:szCs w:val="24"/>
        </w:rPr>
        <w:t>Гродековского</w:t>
      </w:r>
      <w:proofErr w:type="spellEnd"/>
      <w:r w:rsidR="00B521F0">
        <w:rPr>
          <w:sz w:val="24"/>
          <w:szCs w:val="24"/>
        </w:rPr>
        <w:t xml:space="preserve"> </w:t>
      </w:r>
      <w:r w:rsidR="002164D8">
        <w:rPr>
          <w:sz w:val="24"/>
          <w:szCs w:val="24"/>
        </w:rPr>
        <w:t xml:space="preserve"> сельсовета, </w:t>
      </w:r>
      <w:r w:rsidRPr="004A507D">
        <w:rPr>
          <w:sz w:val="24"/>
          <w:szCs w:val="24"/>
        </w:rPr>
        <w:t>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2164D8">
        <w:rPr>
          <w:sz w:val="24"/>
          <w:szCs w:val="24"/>
        </w:rPr>
        <w:t xml:space="preserve">ешением </w:t>
      </w:r>
      <w:proofErr w:type="spellStart"/>
      <w:r w:rsidR="002164D8">
        <w:rPr>
          <w:sz w:val="24"/>
          <w:szCs w:val="24"/>
        </w:rPr>
        <w:t>Гродековского</w:t>
      </w:r>
      <w:proofErr w:type="spellEnd"/>
      <w:r w:rsidR="002164D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593E72">
        <w:rPr>
          <w:sz w:val="24"/>
          <w:szCs w:val="24"/>
        </w:rPr>
        <w:t xml:space="preserve"> депутатов от 20</w:t>
      </w:r>
      <w:r w:rsidR="00B521F0">
        <w:rPr>
          <w:sz w:val="24"/>
          <w:szCs w:val="24"/>
        </w:rPr>
        <w:t xml:space="preserve"> октября 2021  № </w:t>
      </w:r>
      <w:r w:rsidR="00593E72">
        <w:rPr>
          <w:sz w:val="24"/>
          <w:szCs w:val="24"/>
        </w:rPr>
        <w:t>149</w:t>
      </w:r>
      <w:r w:rsidRPr="004A507D">
        <w:rPr>
          <w:sz w:val="24"/>
          <w:szCs w:val="24"/>
        </w:rPr>
        <w:t xml:space="preserve"> «О передаче осуществления части полномочий </w:t>
      </w:r>
      <w:r w:rsidR="00593E72">
        <w:rPr>
          <w:sz w:val="24"/>
          <w:szCs w:val="24"/>
        </w:rPr>
        <w:t xml:space="preserve">сельсовета </w:t>
      </w:r>
      <w:r w:rsidR="005900B5">
        <w:rPr>
          <w:sz w:val="24"/>
          <w:szCs w:val="24"/>
        </w:rPr>
        <w:t>органам местного самоуправления Благ</w:t>
      </w:r>
      <w:r w:rsidR="00593E72">
        <w:rPr>
          <w:sz w:val="24"/>
          <w:szCs w:val="24"/>
        </w:rPr>
        <w:t xml:space="preserve">овещенского района по </w:t>
      </w:r>
      <w:r w:rsidR="005900B5">
        <w:rPr>
          <w:sz w:val="24"/>
          <w:szCs w:val="24"/>
        </w:rPr>
        <w:t xml:space="preserve"> в</w:t>
      </w:r>
      <w:r w:rsidR="00F6079E">
        <w:rPr>
          <w:sz w:val="24"/>
          <w:szCs w:val="24"/>
        </w:rPr>
        <w:t>о</w:t>
      </w:r>
      <w:r w:rsidR="00593E72">
        <w:rPr>
          <w:sz w:val="24"/>
          <w:szCs w:val="24"/>
        </w:rPr>
        <w:t>просам  в области жилищно-коммунального хозяйства на 2022 год</w:t>
      </w:r>
      <w:r w:rsidR="005900B5">
        <w:rPr>
          <w:sz w:val="24"/>
          <w:szCs w:val="24"/>
        </w:rPr>
        <w:t xml:space="preserve">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</w:t>
      </w:r>
      <w:proofErr w:type="gramEnd"/>
      <w:r w:rsidR="005900B5">
        <w:rPr>
          <w:sz w:val="24"/>
          <w:szCs w:val="24"/>
        </w:rPr>
        <w:t xml:space="preserve"> №  </w:t>
      </w:r>
      <w:proofErr w:type="gramStart"/>
      <w:r w:rsidR="005900B5">
        <w:rPr>
          <w:sz w:val="24"/>
          <w:szCs w:val="24"/>
        </w:rPr>
        <w:t>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Соглашение о 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30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2AA">
        <w:rPr>
          <w:rFonts w:ascii="Times New Roman" w:hAnsi="Times New Roman" w:cs="Times New Roman"/>
          <w:sz w:val="24"/>
          <w:szCs w:val="24"/>
        </w:rPr>
        <w:t>Гродековского</w:t>
      </w:r>
      <w:proofErr w:type="spellEnd"/>
      <w:r w:rsidR="003062AA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3062AA">
        <w:rPr>
          <w:sz w:val="24"/>
          <w:szCs w:val="24"/>
        </w:rPr>
        <w:t xml:space="preserve">ых полномочий </w:t>
      </w:r>
      <w:r w:rsidR="007266C9" w:rsidRPr="007266C9">
        <w:rPr>
          <w:sz w:val="24"/>
          <w:szCs w:val="24"/>
        </w:rPr>
        <w:t xml:space="preserve">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3062AA">
        <w:rPr>
          <w:b/>
          <w:sz w:val="24"/>
          <w:szCs w:val="24"/>
        </w:rPr>
        <w:t xml:space="preserve">тавляет 402 138,0 </w:t>
      </w:r>
      <w:r w:rsidR="007266C9" w:rsidRPr="007266C9">
        <w:rPr>
          <w:b/>
          <w:sz w:val="24"/>
          <w:szCs w:val="24"/>
        </w:rPr>
        <w:t xml:space="preserve">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3062AA">
        <w:rPr>
          <w:b/>
          <w:sz w:val="24"/>
          <w:szCs w:val="24"/>
        </w:rPr>
        <w:t xml:space="preserve">четыреста две тысячи сто тридцать восемь)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3062AA">
              <w:rPr>
                <w:sz w:val="24"/>
                <w:szCs w:val="24"/>
              </w:rPr>
              <w:t xml:space="preserve"> </w:t>
            </w:r>
            <w:proofErr w:type="spellStart"/>
            <w:r w:rsidR="003062AA">
              <w:rPr>
                <w:sz w:val="24"/>
                <w:szCs w:val="24"/>
              </w:rPr>
              <w:t>Гродековского</w:t>
            </w:r>
            <w:proofErr w:type="spellEnd"/>
            <w:r w:rsidR="003062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3062AA">
              <w:rPr>
                <w:sz w:val="24"/>
                <w:szCs w:val="24"/>
              </w:rPr>
              <w:t xml:space="preserve">ава  </w:t>
            </w:r>
            <w:proofErr w:type="spellStart"/>
            <w:r w:rsidR="003062AA">
              <w:rPr>
                <w:sz w:val="24"/>
                <w:szCs w:val="24"/>
              </w:rPr>
              <w:t>Гродековского</w:t>
            </w:r>
            <w:proofErr w:type="spellEnd"/>
            <w:r w:rsidR="003062AA">
              <w:rPr>
                <w:sz w:val="24"/>
                <w:szCs w:val="24"/>
              </w:rPr>
              <w:t xml:space="preserve">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3062A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О.Г. Берегова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3634"/>
    <w:rsid w:val="0006793C"/>
    <w:rsid w:val="00071CF4"/>
    <w:rsid w:val="00074882"/>
    <w:rsid w:val="0007609A"/>
    <w:rsid w:val="00076E2C"/>
    <w:rsid w:val="0007773F"/>
    <w:rsid w:val="000F5C05"/>
    <w:rsid w:val="002164D8"/>
    <w:rsid w:val="002215BB"/>
    <w:rsid w:val="002D2601"/>
    <w:rsid w:val="002E778B"/>
    <w:rsid w:val="003062AA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593E72"/>
    <w:rsid w:val="00637313"/>
    <w:rsid w:val="00657FF0"/>
    <w:rsid w:val="006D7F4A"/>
    <w:rsid w:val="007266C9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D70E19"/>
    <w:rsid w:val="00D738D1"/>
    <w:rsid w:val="00D906A7"/>
    <w:rsid w:val="00DC6E7F"/>
    <w:rsid w:val="00E22837"/>
    <w:rsid w:val="00E55EB1"/>
    <w:rsid w:val="00EA5003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3612-329C-4B15-BD0C-27CA3C0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29</cp:revision>
  <cp:lastPrinted>2022-01-12T06:22:00Z</cp:lastPrinted>
  <dcterms:created xsi:type="dcterms:W3CDTF">2017-09-20T02:46:00Z</dcterms:created>
  <dcterms:modified xsi:type="dcterms:W3CDTF">2022-01-12T06:23:00Z</dcterms:modified>
</cp:coreProperties>
</file>