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7457E1">
        <w:t xml:space="preserve"> 9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7457E1">
        <w:rPr>
          <w:sz w:val="24"/>
          <w:szCs w:val="24"/>
        </w:rPr>
        <w:softHyphen/>
      </w:r>
      <w:r w:rsidR="007457E1">
        <w:rPr>
          <w:sz w:val="24"/>
          <w:szCs w:val="24"/>
        </w:rPr>
        <w:softHyphen/>
      </w:r>
      <w:r w:rsidR="007457E1">
        <w:rPr>
          <w:sz w:val="24"/>
          <w:szCs w:val="24"/>
        </w:rPr>
        <w:softHyphen/>
      </w:r>
      <w:r w:rsidR="007457E1">
        <w:rPr>
          <w:sz w:val="24"/>
          <w:szCs w:val="24"/>
        </w:rPr>
        <w:softHyphen/>
      </w:r>
      <w:r w:rsidR="007457E1">
        <w:rPr>
          <w:sz w:val="24"/>
          <w:szCs w:val="24"/>
        </w:rPr>
        <w:softHyphen/>
      </w:r>
      <w:r w:rsidR="007457E1">
        <w:rPr>
          <w:sz w:val="24"/>
          <w:szCs w:val="24"/>
        </w:rPr>
        <w:softHyphen/>
      </w:r>
      <w:proofErr w:type="spellStart"/>
      <w:r w:rsidR="007457E1">
        <w:rPr>
          <w:sz w:val="24"/>
          <w:szCs w:val="24"/>
        </w:rPr>
        <w:t>Натальинского</w:t>
      </w:r>
      <w:proofErr w:type="spellEnd"/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7457E1">
        <w:rPr>
          <w:sz w:val="24"/>
          <w:szCs w:val="24"/>
        </w:rPr>
        <w:t xml:space="preserve">лавы </w:t>
      </w:r>
      <w:proofErr w:type="spellStart"/>
      <w:r w:rsidR="007457E1">
        <w:rPr>
          <w:sz w:val="24"/>
          <w:szCs w:val="24"/>
        </w:rPr>
        <w:t>Натальинского</w:t>
      </w:r>
      <w:proofErr w:type="spellEnd"/>
      <w:r w:rsidR="00BE5129" w:rsidRPr="004A507D">
        <w:rPr>
          <w:sz w:val="24"/>
          <w:szCs w:val="24"/>
        </w:rPr>
        <w:t xml:space="preserve"> сельсо</w:t>
      </w:r>
      <w:r w:rsidR="007457E1">
        <w:rPr>
          <w:sz w:val="24"/>
          <w:szCs w:val="24"/>
        </w:rPr>
        <w:t>вета Макаровой Нины Николаевны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7457E1">
        <w:rPr>
          <w:sz w:val="24"/>
          <w:szCs w:val="24"/>
        </w:rPr>
        <w:t xml:space="preserve">става </w:t>
      </w:r>
      <w:proofErr w:type="spellStart"/>
      <w:r w:rsidR="007457E1">
        <w:rPr>
          <w:sz w:val="24"/>
          <w:szCs w:val="24"/>
        </w:rPr>
        <w:t>Натальинского</w:t>
      </w:r>
      <w:proofErr w:type="spellEnd"/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7457E1">
        <w:rPr>
          <w:sz w:val="24"/>
          <w:szCs w:val="24"/>
        </w:rPr>
        <w:t xml:space="preserve">Уставом </w:t>
      </w:r>
      <w:proofErr w:type="spellStart"/>
      <w:r w:rsidR="007457E1">
        <w:rPr>
          <w:sz w:val="24"/>
          <w:szCs w:val="24"/>
        </w:rPr>
        <w:t>Натальинского</w:t>
      </w:r>
      <w:proofErr w:type="spellEnd"/>
      <w:r w:rsidR="00B521F0">
        <w:rPr>
          <w:sz w:val="24"/>
          <w:szCs w:val="24"/>
        </w:rPr>
        <w:t xml:space="preserve"> </w:t>
      </w:r>
      <w:r w:rsidR="007457E1">
        <w:rPr>
          <w:sz w:val="24"/>
          <w:szCs w:val="24"/>
        </w:rPr>
        <w:t xml:space="preserve"> сельсовета, </w:t>
      </w:r>
      <w:r w:rsidRPr="004A507D">
        <w:rPr>
          <w:sz w:val="24"/>
          <w:szCs w:val="24"/>
        </w:rPr>
        <w:t xml:space="preserve"> 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7457E1">
        <w:rPr>
          <w:sz w:val="24"/>
          <w:szCs w:val="24"/>
        </w:rPr>
        <w:t xml:space="preserve">ешением </w:t>
      </w:r>
      <w:proofErr w:type="spellStart"/>
      <w:r w:rsidR="007457E1">
        <w:rPr>
          <w:sz w:val="24"/>
          <w:szCs w:val="24"/>
        </w:rPr>
        <w:t>Натальинского</w:t>
      </w:r>
      <w:proofErr w:type="spellEnd"/>
      <w:r w:rsidR="007457E1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7457E1">
        <w:rPr>
          <w:sz w:val="24"/>
          <w:szCs w:val="24"/>
        </w:rPr>
        <w:t xml:space="preserve"> депутатов от 28</w:t>
      </w:r>
      <w:r w:rsidR="00B521F0">
        <w:rPr>
          <w:sz w:val="24"/>
          <w:szCs w:val="24"/>
        </w:rPr>
        <w:t xml:space="preserve"> октября 2021  № </w:t>
      </w:r>
      <w:r w:rsidR="005900B5">
        <w:rPr>
          <w:sz w:val="24"/>
          <w:szCs w:val="24"/>
        </w:rPr>
        <w:t>9</w:t>
      </w:r>
      <w:r w:rsidR="007457E1">
        <w:rPr>
          <w:sz w:val="24"/>
          <w:szCs w:val="24"/>
        </w:rPr>
        <w:t xml:space="preserve"> «О передаче </w:t>
      </w:r>
      <w:r w:rsidRPr="004A507D">
        <w:rPr>
          <w:sz w:val="24"/>
          <w:szCs w:val="24"/>
        </w:rPr>
        <w:t xml:space="preserve"> части полномочий </w:t>
      </w:r>
      <w:r w:rsidR="007457E1">
        <w:rPr>
          <w:sz w:val="24"/>
          <w:szCs w:val="24"/>
        </w:rPr>
        <w:t>в области жилищных отношений и коммунального хозяйства органам местного самоуправления Благовещенского района»</w:t>
      </w:r>
      <w:r w:rsidR="005900B5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 принятии части</w:t>
      </w:r>
      <w:proofErr w:type="gramEnd"/>
      <w:r w:rsidR="00F6079E">
        <w:rPr>
          <w:sz w:val="24"/>
          <w:szCs w:val="24"/>
        </w:rPr>
        <w:t xml:space="preserve"> </w:t>
      </w:r>
      <w:proofErr w:type="gramStart"/>
      <w:r w:rsidR="00F6079E">
        <w:rPr>
          <w:sz w:val="24"/>
          <w:szCs w:val="24"/>
        </w:rPr>
        <w:t>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="00590FD8">
        <w:rPr>
          <w:sz w:val="24"/>
          <w:szCs w:val="24"/>
        </w:rPr>
        <w:t>4.1,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 о нижеследующем:</w:t>
      </w:r>
      <w:proofErr w:type="gramEnd"/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F61FB5" w:rsidRDefault="0041741E" w:rsidP="00F61FB5">
      <w:pPr>
        <w:pStyle w:val="a4"/>
        <w:widowControl w:val="0"/>
        <w:numPr>
          <w:ilvl w:val="0"/>
          <w:numId w:val="18"/>
        </w:numPr>
        <w:tabs>
          <w:tab w:val="left" w:pos="1158"/>
        </w:tabs>
        <w:spacing w:line="274" w:lineRule="exact"/>
        <w:jc w:val="both"/>
        <w:rPr>
          <w:rFonts w:ascii="Times New Roman" w:hAnsi="Times New Roman" w:cs="Times New Roman"/>
        </w:rPr>
      </w:pPr>
      <w:r w:rsidRPr="00F61FB5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684F69" w:rsidRDefault="0041741E" w:rsidP="00684F69">
      <w:pPr>
        <w:pStyle w:val="a4"/>
        <w:widowControl w:val="0"/>
        <w:numPr>
          <w:ilvl w:val="0"/>
          <w:numId w:val="19"/>
        </w:numPr>
        <w:tabs>
          <w:tab w:val="left" w:pos="1392"/>
        </w:tabs>
        <w:spacing w:line="274" w:lineRule="exact"/>
        <w:jc w:val="both"/>
        <w:rPr>
          <w:rFonts w:ascii="Times New Roman" w:hAnsi="Times New Roman" w:cs="Times New Roman"/>
        </w:rPr>
      </w:pPr>
      <w:r w:rsidRPr="00684F69">
        <w:rPr>
          <w:rFonts w:ascii="Times New Roman" w:hAnsi="Times New Roman" w:cs="Times New Roman"/>
        </w:rPr>
        <w:t xml:space="preserve">осуществление информационного обеспечения мероприятий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</w:t>
      </w:r>
      <w:proofErr w:type="spellStart"/>
      <w:r w:rsidRPr="00684F69">
        <w:rPr>
          <w:rFonts w:ascii="Times New Roman" w:hAnsi="Times New Roman" w:cs="Times New Roman"/>
        </w:rPr>
        <w:t>эффективности</w:t>
      </w:r>
      <w:proofErr w:type="gramStart"/>
      <w:r w:rsidRPr="00684F69">
        <w:rPr>
          <w:rFonts w:ascii="Times New Roman" w:hAnsi="Times New Roman" w:cs="Times New Roman"/>
        </w:rPr>
        <w:t>;о</w:t>
      </w:r>
      <w:proofErr w:type="gramEnd"/>
      <w:r w:rsidRPr="00684F69">
        <w:rPr>
          <w:rFonts w:ascii="Times New Roman" w:hAnsi="Times New Roman" w:cs="Times New Roman"/>
        </w:rPr>
        <w:t>существление</w:t>
      </w:r>
      <w:proofErr w:type="spellEnd"/>
      <w:r w:rsidRPr="00684F69">
        <w:rPr>
          <w:rFonts w:ascii="Times New Roman" w:hAnsi="Times New Roman" w:cs="Times New Roman"/>
        </w:rPr>
        <w:t xml:space="preserve"> иных полномочий в области энергосбережения и повышения энергетической эффективности.</w:t>
      </w:r>
    </w:p>
    <w:p w:rsidR="00416A62" w:rsidRPr="00F61FB5" w:rsidRDefault="00416A62" w:rsidP="00F61FB5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line="274" w:lineRule="exact"/>
        <w:jc w:val="both"/>
        <w:rPr>
          <w:rFonts w:ascii="Times New Roman" w:hAnsi="Times New Roman" w:cs="Times New Roman"/>
        </w:rPr>
      </w:pPr>
      <w:r w:rsidRPr="00F61FB5">
        <w:rPr>
          <w:rFonts w:ascii="Times New Roman" w:hAnsi="Times New Roman" w:cs="Times New Roman"/>
        </w:rPr>
        <w:t>защиту региональных стандартов;</w:t>
      </w:r>
    </w:p>
    <w:p w:rsidR="00416A62" w:rsidRPr="00F61FB5" w:rsidRDefault="00513AE3" w:rsidP="00F61FB5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F61FB5">
        <w:rPr>
          <w:rFonts w:ascii="Times New Roman" w:hAnsi="Times New Roman" w:cs="Times New Roman"/>
        </w:rPr>
        <w:t xml:space="preserve">мониторинг </w:t>
      </w:r>
      <w:r w:rsidR="00416A62" w:rsidRPr="00F61FB5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F61FB5">
      <w:pPr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проведение оценки доступности платы граждан;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</w:t>
      </w:r>
      <w:proofErr w:type="gramStart"/>
      <w:r w:rsidRPr="004A507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A5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507D">
        <w:rPr>
          <w:rFonts w:ascii="Times New Roman" w:hAnsi="Times New Roman" w:cs="Times New Roman"/>
          <w:b/>
          <w:sz w:val="24"/>
          <w:szCs w:val="24"/>
        </w:rPr>
        <w:t>границах</w:t>
      </w:r>
      <w:proofErr w:type="gramEnd"/>
      <w:r w:rsidRPr="004A5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684F69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684F69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об объемах потребления энергоресурсов (эл</w:t>
      </w:r>
      <w:r w:rsidR="00234075">
        <w:rPr>
          <w:rFonts w:ascii="Times New Roman" w:hAnsi="Times New Roman" w:cs="Times New Roman"/>
          <w:sz w:val="24"/>
          <w:szCs w:val="24"/>
        </w:rPr>
        <w:t>ектроэнергии</w:t>
      </w:r>
      <w:r w:rsidR="0041741E"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234075">
        <w:rPr>
          <w:sz w:val="24"/>
          <w:szCs w:val="24"/>
        </w:rPr>
        <w:t>рансфертов, предоставляемых 2022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234075">
        <w:rPr>
          <w:b/>
          <w:sz w:val="24"/>
          <w:szCs w:val="24"/>
        </w:rPr>
        <w:t>тавляет 43 487,</w:t>
      </w:r>
      <w:r w:rsidR="007266C9" w:rsidRPr="007266C9">
        <w:rPr>
          <w:b/>
          <w:sz w:val="24"/>
          <w:szCs w:val="24"/>
        </w:rPr>
        <w:t xml:space="preserve">0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234075">
        <w:rPr>
          <w:b/>
          <w:sz w:val="24"/>
          <w:szCs w:val="24"/>
        </w:rPr>
        <w:t xml:space="preserve">сорок три тысячи четыреста восемьдесят семь) </w:t>
      </w:r>
      <w:r w:rsidR="007266C9" w:rsidRPr="007266C9">
        <w:rPr>
          <w:b/>
          <w:sz w:val="24"/>
          <w:szCs w:val="24"/>
        </w:rPr>
        <w:t xml:space="preserve">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осуществляется путем подписания Сторонами </w:t>
      </w:r>
      <w:r w:rsidRPr="004A507D">
        <w:rPr>
          <w:sz w:val="24"/>
          <w:szCs w:val="24"/>
        </w:rPr>
        <w:lastRenderedPageBreak/>
        <w:t>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234075">
              <w:rPr>
                <w:sz w:val="24"/>
                <w:szCs w:val="24"/>
              </w:rPr>
              <w:t xml:space="preserve"> </w:t>
            </w:r>
            <w:proofErr w:type="spellStart"/>
            <w:r w:rsidR="00234075">
              <w:rPr>
                <w:sz w:val="24"/>
                <w:szCs w:val="24"/>
              </w:rPr>
              <w:t>Натальиннского</w:t>
            </w:r>
            <w:proofErr w:type="spellEnd"/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234075">
              <w:rPr>
                <w:sz w:val="24"/>
                <w:szCs w:val="24"/>
              </w:rPr>
              <w:t xml:space="preserve">ава  </w:t>
            </w:r>
            <w:proofErr w:type="spellStart"/>
            <w:r w:rsidR="00234075">
              <w:rPr>
                <w:sz w:val="24"/>
                <w:szCs w:val="24"/>
              </w:rPr>
              <w:t>Натальинского</w:t>
            </w:r>
            <w:proofErr w:type="spellEnd"/>
            <w:r w:rsidR="00234075">
              <w:rPr>
                <w:sz w:val="24"/>
                <w:szCs w:val="24"/>
              </w:rPr>
              <w:t xml:space="preserve"> 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D70E19" w:rsidRPr="004A507D">
              <w:rPr>
                <w:sz w:val="24"/>
                <w:szCs w:val="24"/>
              </w:rPr>
              <w:t xml:space="preserve"> </w:t>
            </w:r>
            <w:r w:rsidR="00234075">
              <w:rPr>
                <w:sz w:val="24"/>
                <w:szCs w:val="24"/>
              </w:rPr>
              <w:t>Н. Н. Макарова</w:t>
            </w:r>
            <w:r w:rsidR="003A493B">
              <w:rPr>
                <w:sz w:val="24"/>
                <w:szCs w:val="24"/>
              </w:rPr>
              <w:t xml:space="preserve">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106BF"/>
    <w:multiLevelType w:val="hybridMultilevel"/>
    <w:tmpl w:val="708C3E88"/>
    <w:lvl w:ilvl="0" w:tplc="B9E2C88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02312"/>
    <w:multiLevelType w:val="hybridMultilevel"/>
    <w:tmpl w:val="8EA86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7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15"/>
  </w:num>
  <w:num w:numId="14">
    <w:abstractNumId w:val="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133C79"/>
    <w:rsid w:val="0021124C"/>
    <w:rsid w:val="002215BB"/>
    <w:rsid w:val="00234075"/>
    <w:rsid w:val="002D2601"/>
    <w:rsid w:val="002E778B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900B5"/>
    <w:rsid w:val="00590FD8"/>
    <w:rsid w:val="00637313"/>
    <w:rsid w:val="00657FF0"/>
    <w:rsid w:val="00684F69"/>
    <w:rsid w:val="006D7F4A"/>
    <w:rsid w:val="007266C9"/>
    <w:rsid w:val="007457E1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D0A54"/>
    <w:rsid w:val="00CD7390"/>
    <w:rsid w:val="00D70E19"/>
    <w:rsid w:val="00D738D1"/>
    <w:rsid w:val="00DC6E7F"/>
    <w:rsid w:val="00E22837"/>
    <w:rsid w:val="00E55EB1"/>
    <w:rsid w:val="00EA5003"/>
    <w:rsid w:val="00F6079E"/>
    <w:rsid w:val="00F61FB5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41D9-771A-4777-9D3E-D74BC69C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29</cp:revision>
  <cp:lastPrinted>2022-01-12T06:47:00Z</cp:lastPrinted>
  <dcterms:created xsi:type="dcterms:W3CDTF">2017-09-20T02:46:00Z</dcterms:created>
  <dcterms:modified xsi:type="dcterms:W3CDTF">2022-01-12T06:49:00Z</dcterms:modified>
</cp:coreProperties>
</file>